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57A25E0D" w:rsidR="00382560" w:rsidRPr="00BB2FBE" w:rsidRDefault="00BB2FBE" w:rsidP="00B860E5">
            <w:pPr>
              <w:pStyle w:val="RTH2"/>
              <w:spacing w:before="120" w:after="120"/>
              <w:rPr>
                <w:rFonts w:ascii="Arial" w:hAnsi="Arial" w:cs="Arial"/>
                <w:b w:val="0"/>
              </w:rPr>
            </w:pPr>
            <w:r>
              <w:rPr>
                <w:rFonts w:ascii="Arial" w:hAnsi="Arial" w:cs="Arial"/>
              </w:rPr>
              <w:t>Topic</w:t>
            </w:r>
            <w:r w:rsidR="00FB1CE2">
              <w:rPr>
                <w:rFonts w:ascii="Arial" w:hAnsi="Arial" w:cs="Arial"/>
              </w:rPr>
              <w:t>/</w:t>
            </w:r>
            <w:r>
              <w:rPr>
                <w:rFonts w:ascii="Arial" w:hAnsi="Arial" w:cs="Arial"/>
              </w:rPr>
              <w:t>s discussed</w:t>
            </w:r>
            <w:r w:rsidR="00264232">
              <w:rPr>
                <w:rFonts w:ascii="Arial" w:hAnsi="Arial" w:cs="Arial"/>
              </w:rPr>
              <w:t xml:space="preserve">: </w:t>
            </w:r>
            <w:r w:rsidR="00CF357C">
              <w:rPr>
                <w:rFonts w:ascii="Arial" w:hAnsi="Arial" w:cs="Arial"/>
              </w:rPr>
              <w:t>6</w:t>
            </w:r>
            <w:r w:rsidR="001931B3">
              <w:rPr>
                <w:rFonts w:ascii="Arial" w:hAnsi="Arial" w:cs="Arial"/>
              </w:rPr>
              <w:t xml:space="preserve"> Important things you can find on a Safety Data Sheet (SDS)</w:t>
            </w:r>
          </w:p>
        </w:tc>
      </w:tr>
      <w:tr w:rsidR="00382560" w:rsidRPr="00EC447D" w14:paraId="397B5952" w14:textId="77777777" w:rsidTr="00B860E5">
        <w:trPr>
          <w:trHeight w:val="4523"/>
        </w:trPr>
        <w:tc>
          <w:tcPr>
            <w:tcW w:w="11052" w:type="dxa"/>
            <w:gridSpan w:val="2"/>
          </w:tcPr>
          <w:p w14:paraId="25A4DF70" w14:textId="7207788F"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Depending on your job duties, you could come into contact with harmful chemicals. It is important to know how to handle these chemicals and where to get information on what to do if you come into contact with one or how to clean up a spill.</w:t>
            </w:r>
          </w:p>
          <w:p w14:paraId="153E4D2D" w14:textId="1BD9FF5F"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Chemical manufacturers are required to produce Safety Data Sheets (SDS) for all hazardous chemicals, which is where you will find this important information. As an employer, we are required to make SDS readily available to you for all chemicals used in the workplace.</w:t>
            </w:r>
          </w:p>
          <w:p w14:paraId="36117F6C" w14:textId="1526A0B4" w:rsidR="00801F54" w:rsidRPr="001931B3" w:rsidRDefault="001931B3" w:rsidP="001931B3">
            <w:pPr>
              <w:pStyle w:val="NormalWeb"/>
              <w:shd w:val="clear" w:color="auto" w:fill="FFFFFF"/>
              <w:spacing w:before="0" w:beforeAutospacing="0" w:after="0" w:afterAutospacing="0" w:line="360" w:lineRule="atLeast"/>
              <w:rPr>
                <w:rFonts w:ascii="SourceSansPro-Bold" w:hAnsi="SourceSansPro-Bold" w:cs="SourceSansPro-Bold"/>
                <w:b/>
                <w:bCs/>
              </w:rPr>
            </w:pPr>
            <w:r w:rsidRPr="001931B3">
              <w:rPr>
                <w:rFonts w:ascii="SourceSansPro-Bold" w:hAnsi="SourceSansPro-Bold" w:cs="SourceSansPro-Bold"/>
                <w:b/>
                <w:bCs/>
              </w:rPr>
              <w:t>You can find this facility’s Safety Data Sheets in these locations:</w:t>
            </w:r>
          </w:p>
          <w:p w14:paraId="05EFCDEB" w14:textId="3D100EC6" w:rsidR="001931B3" w:rsidRPr="001931B3" w:rsidRDefault="001931B3"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r w:rsidRPr="001931B3">
              <w:rPr>
                <w:rFonts w:ascii="SourceSansPro-Bold" w:hAnsi="SourceSansPro-Bold" w:cs="SourceSansPro-Bold"/>
                <w:b/>
                <w:bCs/>
                <w:color w:val="000000"/>
              </w:rPr>
              <w:t>1.</w:t>
            </w:r>
          </w:p>
          <w:p w14:paraId="2C13A91C" w14:textId="7935F336" w:rsidR="001931B3" w:rsidRDefault="001931B3"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r w:rsidRPr="001931B3">
              <w:rPr>
                <w:rFonts w:ascii="SourceSansPro-Bold" w:hAnsi="SourceSansPro-Bold" w:cs="SourceSansPro-Bold"/>
                <w:b/>
                <w:bCs/>
                <w:color w:val="000000"/>
              </w:rPr>
              <w:t>2.</w:t>
            </w:r>
          </w:p>
          <w:p w14:paraId="25C05BF9" w14:textId="5F9534F3" w:rsidR="00F32EB6" w:rsidRDefault="00F32EB6"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p>
          <w:p w14:paraId="7A1D31C7" w14:textId="77777777" w:rsidR="00F32EB6" w:rsidRPr="001931B3" w:rsidRDefault="00F32EB6" w:rsidP="001931B3">
            <w:pPr>
              <w:pStyle w:val="NormalWeb"/>
              <w:shd w:val="clear" w:color="auto" w:fill="FFFFFF"/>
              <w:spacing w:before="0" w:beforeAutospacing="0" w:after="0" w:afterAutospacing="0" w:line="360" w:lineRule="atLeast"/>
              <w:rPr>
                <w:rFonts w:ascii="SourceSansPro-Bold" w:hAnsi="SourceSansPro-Bold" w:cs="SourceSansPro-Bold"/>
                <w:b/>
                <w:bCs/>
                <w:color w:val="000000"/>
              </w:rPr>
            </w:pPr>
          </w:p>
          <w:p w14:paraId="02EE01BD" w14:textId="16FECA01"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 xml:space="preserve">There are 16 sections on all </w:t>
            </w:r>
            <w:proofErr w:type="gramStart"/>
            <w:r w:rsidRPr="001931B3">
              <w:rPr>
                <w:rFonts w:ascii="SourceSansPro-Regular" w:hAnsi="SourceSansPro-Regular" w:cs="SourceSansPro-Regular"/>
                <w:lang w:eastAsia="en-AU"/>
              </w:rPr>
              <w:t>SDS</w:t>
            </w:r>
            <w:proofErr w:type="gramEnd"/>
            <w:r w:rsidRPr="001931B3">
              <w:rPr>
                <w:rFonts w:ascii="SourceSansPro-Regular" w:hAnsi="SourceSansPro-Regular" w:cs="SourceSansPro-Regular"/>
                <w:lang w:eastAsia="en-AU"/>
              </w:rPr>
              <w:t xml:space="preserve"> and it is important to understand each one to safely handle</w:t>
            </w:r>
            <w:r w:rsidR="00CF357C">
              <w:rPr>
                <w:rFonts w:ascii="SourceSansPro-Regular" w:hAnsi="SourceSansPro-Regular" w:cs="SourceSansPro-Regular"/>
                <w:lang w:eastAsia="en-AU"/>
              </w:rPr>
              <w:t xml:space="preserve"> </w:t>
            </w:r>
            <w:r w:rsidRPr="001931B3">
              <w:rPr>
                <w:rFonts w:ascii="SourceSansPro-Regular" w:hAnsi="SourceSansPro-Regular" w:cs="SourceSansPro-Regular"/>
                <w:lang w:eastAsia="en-AU"/>
              </w:rPr>
              <w:t>chemicals. In day-to-day operations, however, the five following sections are the ones you</w:t>
            </w:r>
            <w:r w:rsidR="00CF357C">
              <w:rPr>
                <w:rFonts w:ascii="SourceSansPro-Regular" w:hAnsi="SourceSansPro-Regular" w:cs="SourceSansPro-Regular"/>
                <w:lang w:eastAsia="en-AU"/>
              </w:rPr>
              <w:t xml:space="preserve"> </w:t>
            </w:r>
            <w:r w:rsidRPr="001931B3">
              <w:rPr>
                <w:rFonts w:ascii="SourceSansPro-Regular" w:hAnsi="SourceSansPro-Regular" w:cs="SourceSansPro-Regular"/>
                <w:lang w:eastAsia="en-AU"/>
              </w:rPr>
              <w:t>will likely use most o</w:t>
            </w:r>
            <w:r w:rsidR="00CF357C">
              <w:rPr>
                <w:rFonts w:ascii="SourceSansPro-Regular" w:hAnsi="SourceSansPro-Regular" w:cs="SourceSansPro-Regular"/>
                <w:lang w:eastAsia="en-AU"/>
              </w:rPr>
              <w:t>ft</w:t>
            </w:r>
            <w:r w:rsidRPr="001931B3">
              <w:rPr>
                <w:rFonts w:ascii="SourceSansPro-Regular" w:hAnsi="SourceSansPro-Regular" w:cs="SourceSansPro-Regular"/>
                <w:lang w:eastAsia="en-AU"/>
              </w:rPr>
              <w:t>en.</w:t>
            </w:r>
          </w:p>
          <w:p w14:paraId="4798510B"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7FC568C0" w14:textId="77777777" w:rsidR="001931B3" w:rsidRPr="001931B3" w:rsidRDefault="001931B3" w:rsidP="001931B3">
            <w:pPr>
              <w:autoSpaceDE w:val="0"/>
              <w:autoSpaceDN w:val="0"/>
              <w:adjustRightInd w:val="0"/>
              <w:rPr>
                <w:rFonts w:ascii="SourceSansPro-Bold" w:hAnsi="SourceSansPro-Bold" w:cs="SourceSansPro-Bold"/>
                <w:b/>
                <w:bCs/>
                <w:lang w:eastAsia="en-AU"/>
              </w:rPr>
            </w:pPr>
            <w:r w:rsidRPr="001931B3">
              <w:rPr>
                <w:rFonts w:ascii="SourceSansPro-Bold" w:hAnsi="SourceSansPro-Bold" w:cs="SourceSansPro-Bold"/>
                <w:b/>
                <w:bCs/>
                <w:lang w:eastAsia="en-AU"/>
              </w:rPr>
              <w:t>Here are five things to look for on SDS:</w:t>
            </w:r>
          </w:p>
          <w:p w14:paraId="7310BFF2" w14:textId="704B4018" w:rsidR="00CF357C" w:rsidRPr="00CF357C" w:rsidRDefault="001931B3" w:rsidP="001931B3">
            <w:pPr>
              <w:autoSpaceDE w:val="0"/>
              <w:autoSpaceDN w:val="0"/>
              <w:adjustRightInd w:val="0"/>
              <w:rPr>
                <w:rFonts w:ascii="SourceSansPro-Bold" w:hAnsi="SourceSansPro-Bold" w:cs="SourceSansPro-Bold"/>
                <w:lang w:eastAsia="en-AU"/>
              </w:rPr>
            </w:pPr>
            <w:r w:rsidRPr="001931B3">
              <w:rPr>
                <w:rFonts w:ascii="SourceSansPro-Bold" w:hAnsi="SourceSansPro-Bold" w:cs="SourceSansPro-Bold"/>
                <w:b/>
                <w:bCs/>
                <w:lang w:eastAsia="en-AU"/>
              </w:rPr>
              <w:t xml:space="preserve">1. </w:t>
            </w:r>
            <w:r w:rsidR="00CF357C" w:rsidRPr="00F32EB6">
              <w:rPr>
                <w:rFonts w:ascii="SourceSansPro-Bold" w:hAnsi="SourceSansPro-Bold" w:cs="SourceSansPro-Bold"/>
                <w:b/>
                <w:bCs/>
                <w:lang w:eastAsia="en-AU"/>
              </w:rPr>
              <w:t>Hazard Identification</w:t>
            </w:r>
            <w:r w:rsidR="00CF357C" w:rsidRPr="00CF357C">
              <w:rPr>
                <w:rFonts w:ascii="SourceSansPro-Bold" w:hAnsi="SourceSansPro-Bold" w:cs="SourceSansPro-Bold"/>
                <w:lang w:eastAsia="en-AU"/>
              </w:rPr>
              <w:t xml:space="preserve"> (Section 2) This section will identify if the chemical is hazardous</w:t>
            </w:r>
          </w:p>
          <w:p w14:paraId="004F51A3" w14:textId="77777777" w:rsidR="00CF357C" w:rsidRDefault="00CF357C" w:rsidP="001931B3">
            <w:pPr>
              <w:autoSpaceDE w:val="0"/>
              <w:autoSpaceDN w:val="0"/>
              <w:adjustRightInd w:val="0"/>
              <w:rPr>
                <w:rFonts w:ascii="SourceSansPro-Bold" w:hAnsi="SourceSansPro-Bold" w:cs="SourceSansPro-Bold"/>
                <w:b/>
                <w:bCs/>
                <w:lang w:eastAsia="en-AU"/>
              </w:rPr>
            </w:pPr>
          </w:p>
          <w:p w14:paraId="53509DB0" w14:textId="3333169C" w:rsidR="001931B3" w:rsidRPr="001931B3" w:rsidRDefault="00CF357C" w:rsidP="001931B3">
            <w:pPr>
              <w:autoSpaceDE w:val="0"/>
              <w:autoSpaceDN w:val="0"/>
              <w:adjustRightInd w:val="0"/>
              <w:rPr>
                <w:rFonts w:ascii="SourceSansPro-Regular" w:hAnsi="SourceSansPro-Regular" w:cs="SourceSansPro-Regular"/>
                <w:lang w:eastAsia="en-AU"/>
              </w:rPr>
            </w:pPr>
            <w:r>
              <w:rPr>
                <w:rFonts w:ascii="SourceSansPro-Bold" w:hAnsi="SourceSansPro-Bold" w:cs="SourceSansPro-Bold"/>
                <w:b/>
                <w:bCs/>
                <w:lang w:eastAsia="en-AU"/>
              </w:rPr>
              <w:t>2.</w:t>
            </w:r>
            <w:r w:rsidR="001931B3" w:rsidRPr="00F32EB6">
              <w:rPr>
                <w:rFonts w:ascii="SourceSansPro-Regular" w:hAnsi="SourceSansPro-Regular" w:cs="SourceSansPro-Regular"/>
                <w:b/>
                <w:bCs/>
                <w:lang w:eastAsia="en-AU"/>
              </w:rPr>
              <w:t>First Aid</w:t>
            </w:r>
            <w:r w:rsidR="001931B3" w:rsidRPr="001931B3">
              <w:rPr>
                <w:rFonts w:ascii="SourceSansPro-Regular" w:hAnsi="SourceSansPro-Regular" w:cs="SourceSansPro-Regular"/>
                <w:lang w:eastAsia="en-AU"/>
              </w:rPr>
              <w:t xml:space="preserve"> (Section 4) – Basic first aid information is available on the product label, but the SDS will</w:t>
            </w:r>
          </w:p>
          <w:p w14:paraId="56BE5728" w14:textId="3969F42E"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provide more detail on the symptoms of exposure, as well as greater detail for initial treatment.</w:t>
            </w:r>
          </w:p>
          <w:p w14:paraId="30C952BE"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5F227AC9" w14:textId="5BB01A6F" w:rsidR="001931B3" w:rsidRPr="001931B3" w:rsidRDefault="00CF357C" w:rsidP="001931B3">
            <w:pPr>
              <w:autoSpaceDE w:val="0"/>
              <w:autoSpaceDN w:val="0"/>
              <w:adjustRightInd w:val="0"/>
              <w:rPr>
                <w:rFonts w:ascii="SourceSansPro-Regular" w:hAnsi="SourceSansPro-Regular" w:cs="SourceSansPro-Regular"/>
                <w:lang w:eastAsia="en-AU"/>
              </w:rPr>
            </w:pPr>
            <w:r>
              <w:rPr>
                <w:rFonts w:ascii="SourceSansPro-Bold" w:hAnsi="SourceSansPro-Bold" w:cs="SourceSansPro-Bold"/>
                <w:b/>
                <w:bCs/>
                <w:lang w:eastAsia="en-AU"/>
              </w:rPr>
              <w:t>3</w:t>
            </w:r>
            <w:r w:rsidR="001931B3" w:rsidRPr="001931B3">
              <w:rPr>
                <w:rFonts w:ascii="SourceSansPro-Bold" w:hAnsi="SourceSansPro-Bold" w:cs="SourceSansPro-Bold"/>
                <w:b/>
                <w:bCs/>
                <w:lang w:eastAsia="en-AU"/>
              </w:rPr>
              <w:t xml:space="preserve">. </w:t>
            </w:r>
            <w:r w:rsidR="001931B3" w:rsidRPr="00F32EB6">
              <w:rPr>
                <w:rFonts w:ascii="SourceSansPro-Regular" w:hAnsi="SourceSansPro-Regular" w:cs="SourceSansPro-Regular"/>
                <w:b/>
                <w:bCs/>
                <w:lang w:eastAsia="en-AU"/>
              </w:rPr>
              <w:t>Firefighting</w:t>
            </w:r>
            <w:r w:rsidR="001931B3" w:rsidRPr="001931B3">
              <w:rPr>
                <w:rFonts w:ascii="SourceSansPro-Regular" w:hAnsi="SourceSansPro-Regular" w:cs="SourceSansPro-Regular"/>
                <w:lang w:eastAsia="en-AU"/>
              </w:rPr>
              <w:t xml:space="preserve"> (Section 5) – Some chemicals require specific firefighting techniques or create special</w:t>
            </w:r>
          </w:p>
          <w:p w14:paraId="48CD6861" w14:textId="77777777"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hazards when involved in a fire. The information in this section instructs firefighters on suitable fire</w:t>
            </w:r>
          </w:p>
          <w:p w14:paraId="0B2A38A5" w14:textId="3678082F"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extinguishing techniques.</w:t>
            </w:r>
          </w:p>
          <w:p w14:paraId="35DEBFA7"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6DCBB887" w14:textId="77777777"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Bold" w:hAnsi="SourceSansPro-Bold" w:cs="SourceSansPro-Bold"/>
                <w:b/>
                <w:bCs/>
                <w:lang w:eastAsia="en-AU"/>
              </w:rPr>
              <w:t>3</w:t>
            </w:r>
            <w:r w:rsidRPr="00F32EB6">
              <w:rPr>
                <w:rFonts w:ascii="SourceSansPro-Bold" w:hAnsi="SourceSansPro-Bold" w:cs="SourceSansPro-Bold"/>
                <w:b/>
                <w:bCs/>
                <w:lang w:eastAsia="en-AU"/>
              </w:rPr>
              <w:t xml:space="preserve">. </w:t>
            </w:r>
            <w:r w:rsidRPr="00F32EB6">
              <w:rPr>
                <w:rFonts w:ascii="SourceSansPro-Regular" w:hAnsi="SourceSansPro-Regular" w:cs="SourceSansPro-Regular"/>
                <w:b/>
                <w:bCs/>
                <w:lang w:eastAsia="en-AU"/>
              </w:rPr>
              <w:t>Spills</w:t>
            </w:r>
            <w:r w:rsidRPr="001931B3">
              <w:rPr>
                <w:rFonts w:ascii="SourceSansPro-Regular" w:hAnsi="SourceSansPro-Regular" w:cs="SourceSansPro-Regular"/>
                <w:lang w:eastAsia="en-AU"/>
              </w:rPr>
              <w:t xml:space="preserve"> (Section 6) – Spills may necessitate special handling procedures for PPE or those responding.</w:t>
            </w:r>
          </w:p>
          <w:p w14:paraId="3B7301CA" w14:textId="3D6B3592"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Methods for containing and cleaning up a release are also described.</w:t>
            </w:r>
          </w:p>
          <w:p w14:paraId="54F2FBF4"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461867D7" w14:textId="77777777"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Bold" w:hAnsi="SourceSansPro-Bold" w:cs="SourceSansPro-Bold"/>
                <w:b/>
                <w:bCs/>
                <w:lang w:eastAsia="en-AU"/>
              </w:rPr>
              <w:t xml:space="preserve">4. </w:t>
            </w:r>
            <w:r w:rsidRPr="00F32EB6">
              <w:rPr>
                <w:rFonts w:ascii="SourceSansPro-Regular" w:hAnsi="SourceSansPro-Regular" w:cs="SourceSansPro-Regular"/>
                <w:b/>
                <w:bCs/>
                <w:lang w:eastAsia="en-AU"/>
              </w:rPr>
              <w:t>Storage and Handling</w:t>
            </w:r>
            <w:r w:rsidRPr="001931B3">
              <w:rPr>
                <w:rFonts w:ascii="SourceSansPro-Regular" w:hAnsi="SourceSansPro-Regular" w:cs="SourceSansPro-Regular"/>
                <w:lang w:eastAsia="en-AU"/>
              </w:rPr>
              <w:t xml:space="preserve"> (Section 7) – The segregation of incompatible materials and other safe</w:t>
            </w:r>
          </w:p>
          <w:p w14:paraId="31548B8F" w14:textId="08B89849" w:rsid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Regular" w:hAnsi="SourceSansPro-Regular" w:cs="SourceSansPro-Regular"/>
                <w:lang w:eastAsia="en-AU"/>
              </w:rPr>
              <w:t>storage and handling procedures are detailed.</w:t>
            </w:r>
          </w:p>
          <w:p w14:paraId="2CB6D76D" w14:textId="77777777" w:rsidR="00CF357C" w:rsidRPr="001931B3" w:rsidRDefault="00CF357C" w:rsidP="001931B3">
            <w:pPr>
              <w:autoSpaceDE w:val="0"/>
              <w:autoSpaceDN w:val="0"/>
              <w:adjustRightInd w:val="0"/>
              <w:rPr>
                <w:rFonts w:ascii="SourceSansPro-Regular" w:hAnsi="SourceSansPro-Regular" w:cs="SourceSansPro-Regular"/>
                <w:lang w:eastAsia="en-AU"/>
              </w:rPr>
            </w:pPr>
          </w:p>
          <w:p w14:paraId="137AA85F" w14:textId="652E8620" w:rsidR="001931B3" w:rsidRPr="001931B3" w:rsidRDefault="001931B3" w:rsidP="001931B3">
            <w:pPr>
              <w:autoSpaceDE w:val="0"/>
              <w:autoSpaceDN w:val="0"/>
              <w:adjustRightInd w:val="0"/>
              <w:rPr>
                <w:rFonts w:ascii="SourceSansPro-Regular" w:hAnsi="SourceSansPro-Regular" w:cs="SourceSansPro-Regular"/>
                <w:lang w:eastAsia="en-AU"/>
              </w:rPr>
            </w:pPr>
            <w:r w:rsidRPr="001931B3">
              <w:rPr>
                <w:rFonts w:ascii="SourceSansPro-Bold" w:hAnsi="SourceSansPro-Bold" w:cs="SourceSansPro-Bold"/>
                <w:b/>
                <w:bCs/>
                <w:lang w:eastAsia="en-AU"/>
              </w:rPr>
              <w:t xml:space="preserve">5. </w:t>
            </w:r>
            <w:r w:rsidRPr="00F32EB6">
              <w:rPr>
                <w:rFonts w:ascii="SourceSansPro-Regular" w:hAnsi="SourceSansPro-Regular" w:cs="SourceSansPro-Regular"/>
                <w:b/>
                <w:bCs/>
                <w:lang w:eastAsia="en-AU"/>
              </w:rPr>
              <w:t>Routes of Exposure</w:t>
            </w:r>
            <w:r w:rsidRPr="001931B3">
              <w:rPr>
                <w:rFonts w:ascii="SourceSansPro-Regular" w:hAnsi="SourceSansPro-Regular" w:cs="SourceSansPro-Regular"/>
                <w:lang w:eastAsia="en-AU"/>
              </w:rPr>
              <w:t xml:space="preserve"> (Sections 8 and 11) – More in-depth information on how the chemical can </w:t>
            </w:r>
            <w:r w:rsidR="00CF357C">
              <w:rPr>
                <w:rFonts w:ascii="SourceSansPro-Regular" w:hAnsi="SourceSansPro-Regular" w:cs="SourceSansPro-Regular"/>
                <w:lang w:eastAsia="en-AU"/>
              </w:rPr>
              <w:t>aff</w:t>
            </w:r>
            <w:r w:rsidRPr="001931B3">
              <w:rPr>
                <w:rFonts w:ascii="SourceSansPro-Regular" w:hAnsi="SourceSansPro-Regular" w:cs="SourceSansPro-Regular"/>
                <w:lang w:eastAsia="en-AU"/>
              </w:rPr>
              <w:t>ect</w:t>
            </w:r>
          </w:p>
          <w:p w14:paraId="6EF87D35" w14:textId="0F9CA337" w:rsidR="001931B3" w:rsidRPr="001931B3" w:rsidRDefault="001931B3" w:rsidP="001931B3">
            <w:pPr>
              <w:pStyle w:val="NormalWeb"/>
              <w:shd w:val="clear" w:color="auto" w:fill="FFFFFF"/>
              <w:spacing w:before="0" w:beforeAutospacing="0" w:after="0" w:afterAutospacing="0" w:line="360" w:lineRule="atLeast"/>
              <w:rPr>
                <w:rFonts w:ascii="Arial" w:hAnsi="Arial" w:cs="Arial"/>
                <w:color w:val="000000"/>
              </w:rPr>
            </w:pPr>
            <w:r w:rsidRPr="001931B3">
              <w:rPr>
                <w:rFonts w:ascii="SourceSansPro-Regular" w:hAnsi="SourceSansPro-Regular" w:cs="SourceSansPro-Regular"/>
              </w:rPr>
              <w:t>you, including exposure limits and the e</w:t>
            </w:r>
            <w:r w:rsidR="00CF357C">
              <w:rPr>
                <w:rFonts w:ascii="SourceSansPro-Regular" w:hAnsi="SourceSansPro-Regular" w:cs="SourceSansPro-Regular"/>
              </w:rPr>
              <w:t>ff</w:t>
            </w:r>
            <w:r w:rsidRPr="001931B3">
              <w:rPr>
                <w:rFonts w:ascii="SourceSansPro-Regular" w:hAnsi="SourceSansPro-Regular" w:cs="SourceSansPro-Regular"/>
              </w:rPr>
              <w:t>ects of acute and chronic exposure.</w:t>
            </w:r>
          </w:p>
          <w:p w14:paraId="4218E06D" w14:textId="4F669761" w:rsidR="00397633" w:rsidRPr="001931B3" w:rsidRDefault="00397633" w:rsidP="00397633">
            <w:pPr>
              <w:shd w:val="clear" w:color="auto" w:fill="FFFFFF"/>
              <w:textAlignment w:val="baseline"/>
              <w:rPr>
                <w:rFonts w:ascii="Arial" w:eastAsia="Times New Roman" w:hAnsi="Arial" w:cs="Arial"/>
                <w:color w:val="676767"/>
                <w:lang w:eastAsia="en-AU"/>
              </w:rPr>
            </w:pPr>
          </w:p>
          <w:p w14:paraId="03386A52" w14:textId="77777777" w:rsidR="00397633" w:rsidRPr="001931B3" w:rsidRDefault="00397633" w:rsidP="00397633">
            <w:pPr>
              <w:shd w:val="clear" w:color="auto" w:fill="FFFFFF"/>
              <w:textAlignment w:val="baseline"/>
              <w:rPr>
                <w:rFonts w:ascii="Arial" w:eastAsia="Times New Roman" w:hAnsi="Arial" w:cs="Arial"/>
                <w:b/>
                <w:bCs/>
                <w:color w:val="676767"/>
                <w:lang w:eastAsia="en-AU"/>
              </w:rPr>
            </w:pPr>
          </w:p>
          <w:p w14:paraId="76B48EDE" w14:textId="2545F405" w:rsidR="00397633" w:rsidRPr="001931B3" w:rsidRDefault="00397633" w:rsidP="00397633">
            <w:pPr>
              <w:shd w:val="clear" w:color="auto" w:fill="FFFFFF"/>
              <w:textAlignment w:val="baseline"/>
              <w:rPr>
                <w:rFonts w:ascii="Arial" w:eastAsia="Times New Roman" w:hAnsi="Arial" w:cs="Arial"/>
                <w:color w:val="676767"/>
                <w:lang w:eastAsia="en-AU"/>
              </w:rPr>
            </w:pPr>
          </w:p>
          <w:p w14:paraId="48B11158" w14:textId="49769461" w:rsidR="00397633" w:rsidRPr="001931B3" w:rsidRDefault="00126F1B" w:rsidP="00397633">
            <w:pPr>
              <w:shd w:val="clear" w:color="auto" w:fill="FFFFFF"/>
              <w:textAlignment w:val="baseline"/>
              <w:rPr>
                <w:rFonts w:ascii="Arial" w:eastAsia="Times New Roman" w:hAnsi="Arial" w:cs="Arial"/>
                <w:color w:val="676767"/>
                <w:lang w:eastAsia="en-AU"/>
              </w:rPr>
            </w:pPr>
            <w:r w:rsidRPr="001931B3">
              <w:rPr>
                <w:rFonts w:ascii="Arial" w:eastAsia="Times New Roman" w:hAnsi="Arial" w:cs="Arial"/>
                <w:color w:val="676767"/>
                <w:lang w:eastAsia="en-AU"/>
              </w:rPr>
              <w:t xml:space="preserve">                  </w:t>
            </w:r>
          </w:p>
          <w:p w14:paraId="7B34F3D6" w14:textId="463EFB27" w:rsidR="00B860E5" w:rsidRPr="001931B3" w:rsidRDefault="00B860E5" w:rsidP="00CF357C">
            <w:pPr>
              <w:shd w:val="clear" w:color="auto" w:fill="FFFFFF"/>
              <w:spacing w:before="100" w:beforeAutospacing="1" w:after="100" w:afterAutospacing="1" w:line="300" w:lineRule="atLeast"/>
              <w:rPr>
                <w:rFonts w:ascii="Work Sans" w:hAnsi="Work Sans"/>
                <w:color w:val="555555"/>
              </w:rPr>
            </w:pPr>
          </w:p>
        </w:tc>
      </w:tr>
    </w:tbl>
    <w:p w14:paraId="05838846" w14:textId="77777777" w:rsidR="00180215" w:rsidRDefault="00180215" w:rsidP="00F32EB6">
      <w:pPr>
        <w:pStyle w:val="RTH1"/>
      </w:pPr>
    </w:p>
    <w:sectPr w:rsidR="00180215" w:rsidSect="00A47DDF">
      <w:headerReference w:type="default" r:id="rId11"/>
      <w:pgSz w:w="11900" w:h="16840"/>
      <w:pgMar w:top="1702"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128F" w14:textId="77777777" w:rsidR="00A05757" w:rsidRDefault="00A05757" w:rsidP="00F966D8">
      <w:r>
        <w:separator/>
      </w:r>
    </w:p>
  </w:endnote>
  <w:endnote w:type="continuationSeparator" w:id="0">
    <w:p w14:paraId="64614E8B" w14:textId="77777777" w:rsidR="00A05757" w:rsidRDefault="00A05757"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E099" w14:textId="77777777" w:rsidR="00A05757" w:rsidRDefault="00A05757" w:rsidP="00F966D8">
      <w:r>
        <w:separator/>
      </w:r>
    </w:p>
  </w:footnote>
  <w:footnote w:type="continuationSeparator" w:id="0">
    <w:p w14:paraId="7E2861DF" w14:textId="77777777" w:rsidR="00A05757" w:rsidRDefault="00A05757"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173FDA"/>
    <w:multiLevelType w:val="hybridMultilevel"/>
    <w:tmpl w:val="A55C4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597ABF"/>
    <w:multiLevelType w:val="hybridMultilevel"/>
    <w:tmpl w:val="6EA4E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228F3"/>
    <w:multiLevelType w:val="multilevel"/>
    <w:tmpl w:val="4F32A2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133457">
    <w:abstractNumId w:val="22"/>
  </w:num>
  <w:num w:numId="2" w16cid:durableId="877855745">
    <w:abstractNumId w:val="13"/>
  </w:num>
  <w:num w:numId="3" w16cid:durableId="1506630576">
    <w:abstractNumId w:val="10"/>
  </w:num>
  <w:num w:numId="4" w16cid:durableId="878467749">
    <w:abstractNumId w:val="23"/>
  </w:num>
  <w:num w:numId="5" w16cid:durableId="417406003">
    <w:abstractNumId w:val="26"/>
  </w:num>
  <w:num w:numId="6" w16cid:durableId="804658713">
    <w:abstractNumId w:val="4"/>
  </w:num>
  <w:num w:numId="7" w16cid:durableId="24720900">
    <w:abstractNumId w:val="2"/>
  </w:num>
  <w:num w:numId="8" w16cid:durableId="495611973">
    <w:abstractNumId w:val="19"/>
  </w:num>
  <w:num w:numId="9" w16cid:durableId="271867885">
    <w:abstractNumId w:val="17"/>
  </w:num>
  <w:num w:numId="10" w16cid:durableId="489174382">
    <w:abstractNumId w:val="14"/>
  </w:num>
  <w:num w:numId="11" w16cid:durableId="1436752666">
    <w:abstractNumId w:val="6"/>
  </w:num>
  <w:num w:numId="12" w16cid:durableId="678122664">
    <w:abstractNumId w:val="8"/>
  </w:num>
  <w:num w:numId="13" w16cid:durableId="1678654787">
    <w:abstractNumId w:val="0"/>
  </w:num>
  <w:num w:numId="14" w16cid:durableId="2045398220">
    <w:abstractNumId w:val="5"/>
  </w:num>
  <w:num w:numId="15" w16cid:durableId="461389005">
    <w:abstractNumId w:val="16"/>
  </w:num>
  <w:num w:numId="16" w16cid:durableId="7030166">
    <w:abstractNumId w:val="7"/>
  </w:num>
  <w:num w:numId="17" w16cid:durableId="1919365480">
    <w:abstractNumId w:val="15"/>
  </w:num>
  <w:num w:numId="18" w16cid:durableId="751708327">
    <w:abstractNumId w:val="25"/>
  </w:num>
  <w:num w:numId="19" w16cid:durableId="1273055157">
    <w:abstractNumId w:val="11"/>
  </w:num>
  <w:num w:numId="20" w16cid:durableId="889266886">
    <w:abstractNumId w:val="9"/>
  </w:num>
  <w:num w:numId="21" w16cid:durableId="548688587">
    <w:abstractNumId w:val="1"/>
  </w:num>
  <w:num w:numId="22" w16cid:durableId="510068476">
    <w:abstractNumId w:val="20"/>
  </w:num>
  <w:num w:numId="23" w16cid:durableId="1708681164">
    <w:abstractNumId w:val="3"/>
  </w:num>
  <w:num w:numId="24" w16cid:durableId="1976445247">
    <w:abstractNumId w:val="24"/>
  </w:num>
  <w:num w:numId="25" w16cid:durableId="476067391">
    <w:abstractNumId w:val="21"/>
  </w:num>
  <w:num w:numId="26" w16cid:durableId="466898203">
    <w:abstractNumId w:val="18"/>
  </w:num>
  <w:num w:numId="27" w16cid:durableId="888881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15"/>
    <w:rsid w:val="00043EF8"/>
    <w:rsid w:val="00045CD6"/>
    <w:rsid w:val="00062F96"/>
    <w:rsid w:val="000E5079"/>
    <w:rsid w:val="00126F1B"/>
    <w:rsid w:val="0014710F"/>
    <w:rsid w:val="00171072"/>
    <w:rsid w:val="001715C2"/>
    <w:rsid w:val="00180215"/>
    <w:rsid w:val="001931B3"/>
    <w:rsid w:val="001B0D25"/>
    <w:rsid w:val="001D4216"/>
    <w:rsid w:val="002314CF"/>
    <w:rsid w:val="002530B7"/>
    <w:rsid w:val="00264232"/>
    <w:rsid w:val="0027125F"/>
    <w:rsid w:val="00271515"/>
    <w:rsid w:val="002B22FD"/>
    <w:rsid w:val="002D547A"/>
    <w:rsid w:val="002E2C1E"/>
    <w:rsid w:val="002F39BD"/>
    <w:rsid w:val="003102C9"/>
    <w:rsid w:val="00372758"/>
    <w:rsid w:val="00382560"/>
    <w:rsid w:val="0039336C"/>
    <w:rsid w:val="00397633"/>
    <w:rsid w:val="003D1773"/>
    <w:rsid w:val="003F4150"/>
    <w:rsid w:val="0041726F"/>
    <w:rsid w:val="00457755"/>
    <w:rsid w:val="004F5048"/>
    <w:rsid w:val="00513824"/>
    <w:rsid w:val="00541615"/>
    <w:rsid w:val="0058206D"/>
    <w:rsid w:val="005A556D"/>
    <w:rsid w:val="00614719"/>
    <w:rsid w:val="00634240"/>
    <w:rsid w:val="006A24D8"/>
    <w:rsid w:val="006D32A1"/>
    <w:rsid w:val="006E0EF8"/>
    <w:rsid w:val="0073362D"/>
    <w:rsid w:val="007918BC"/>
    <w:rsid w:val="007954F1"/>
    <w:rsid w:val="007E3E27"/>
    <w:rsid w:val="00801F54"/>
    <w:rsid w:val="0081473A"/>
    <w:rsid w:val="0082651A"/>
    <w:rsid w:val="008733F2"/>
    <w:rsid w:val="008A3D7A"/>
    <w:rsid w:val="008D375A"/>
    <w:rsid w:val="008F0B41"/>
    <w:rsid w:val="0093478D"/>
    <w:rsid w:val="009417C1"/>
    <w:rsid w:val="00A00FCD"/>
    <w:rsid w:val="00A05757"/>
    <w:rsid w:val="00A22242"/>
    <w:rsid w:val="00A47DDF"/>
    <w:rsid w:val="00A930CA"/>
    <w:rsid w:val="00AA799D"/>
    <w:rsid w:val="00AF0A2A"/>
    <w:rsid w:val="00AF45AF"/>
    <w:rsid w:val="00B72FF1"/>
    <w:rsid w:val="00B860E5"/>
    <w:rsid w:val="00B87724"/>
    <w:rsid w:val="00BB2FBE"/>
    <w:rsid w:val="00BB4587"/>
    <w:rsid w:val="00BE29D2"/>
    <w:rsid w:val="00C04C98"/>
    <w:rsid w:val="00C5362A"/>
    <w:rsid w:val="00C625C1"/>
    <w:rsid w:val="00CB59B8"/>
    <w:rsid w:val="00CF3569"/>
    <w:rsid w:val="00CF357C"/>
    <w:rsid w:val="00CF5605"/>
    <w:rsid w:val="00D02588"/>
    <w:rsid w:val="00D1472D"/>
    <w:rsid w:val="00D91273"/>
    <w:rsid w:val="00E13B2E"/>
    <w:rsid w:val="00E720E9"/>
    <w:rsid w:val="00EC447D"/>
    <w:rsid w:val="00EE6BB3"/>
    <w:rsid w:val="00F32EB6"/>
    <w:rsid w:val="00F51B83"/>
    <w:rsid w:val="00F53A8D"/>
    <w:rsid w:val="00F966D8"/>
    <w:rsid w:val="00FB1CE2"/>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0A83CBD-0F86-41A6-869B-A2B7A5D2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711149769">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078289386">
      <w:bodyDiv w:val="1"/>
      <w:marLeft w:val="0"/>
      <w:marRight w:val="0"/>
      <w:marTop w:val="0"/>
      <w:marBottom w:val="0"/>
      <w:divBdr>
        <w:top w:val="none" w:sz="0" w:space="0" w:color="auto"/>
        <w:left w:val="none" w:sz="0" w:space="0" w:color="auto"/>
        <w:bottom w:val="none" w:sz="0" w:space="0" w:color="auto"/>
        <w:right w:val="none" w:sz="0" w:space="0" w:color="auto"/>
      </w:divBdr>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4.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dc:description/>
  <cp:lastModifiedBy>Barry Hardy</cp:lastModifiedBy>
  <cp:revision>2</cp:revision>
  <cp:lastPrinted>2018-05-22T04:27:00Z</cp:lastPrinted>
  <dcterms:created xsi:type="dcterms:W3CDTF">2022-06-03T20:52:00Z</dcterms:created>
  <dcterms:modified xsi:type="dcterms:W3CDTF">2022-06-03T20:52:00Z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